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BB9CF" w14:textId="1BF2D805" w:rsidR="00F22EC0" w:rsidRPr="00740D13" w:rsidRDefault="00F22EC0" w:rsidP="00740D13">
      <w:pPr>
        <w:jc w:val="center"/>
        <w:rPr>
          <w:rFonts w:ascii="Calibri" w:eastAsia="Times New Roman" w:hAnsi="Calibri" w:cs="Calibri"/>
          <w:b/>
          <w:color w:val="000000"/>
          <w:lang w:val="en-IE"/>
        </w:rPr>
      </w:pPr>
      <w:r w:rsidRPr="00F22EC0">
        <w:rPr>
          <w:rFonts w:ascii="Calibri" w:eastAsia="Times New Roman" w:hAnsi="Calibri" w:cs="Calibri"/>
          <w:b/>
          <w:color w:val="000000"/>
          <w:lang w:val="en-IE"/>
        </w:rPr>
        <w:t>Does a world-class univ</w:t>
      </w:r>
      <w:r w:rsidR="00740D13" w:rsidRPr="00740D13">
        <w:rPr>
          <w:rFonts w:ascii="Calibri" w:eastAsia="Times New Roman" w:hAnsi="Calibri" w:cs="Calibri"/>
          <w:b/>
          <w:color w:val="000000"/>
          <w:lang w:val="en-IE"/>
        </w:rPr>
        <w:t>ersity strategy lift all boats?</w:t>
      </w:r>
    </w:p>
    <w:p w14:paraId="2933F505" w14:textId="77777777" w:rsidR="00F22EC0" w:rsidRDefault="00F22EC0" w:rsidP="00F22EC0">
      <w:pPr>
        <w:rPr>
          <w:rFonts w:ascii="Calibri" w:eastAsia="Times New Roman" w:hAnsi="Calibri" w:cs="Calibri"/>
          <w:color w:val="000000"/>
          <w:lang w:val="en-IE"/>
        </w:rPr>
      </w:pPr>
    </w:p>
    <w:p w14:paraId="494B8AD8" w14:textId="12035C31" w:rsidR="00F22EC0" w:rsidRDefault="009C1200" w:rsidP="009C1200">
      <w:pPr>
        <w:jc w:val="center"/>
        <w:rPr>
          <w:rFonts w:ascii="Calibri" w:eastAsia="Times New Roman" w:hAnsi="Calibri" w:cs="Calibri"/>
          <w:color w:val="000000"/>
          <w:lang w:val="en-IE"/>
        </w:rPr>
      </w:pPr>
      <w:r>
        <w:rPr>
          <w:rFonts w:ascii="Calibri" w:eastAsia="Times New Roman" w:hAnsi="Calibri" w:cs="Calibri"/>
          <w:color w:val="000000"/>
          <w:lang w:val="en-IE"/>
        </w:rPr>
        <w:t>Ellen Hazelkorn</w:t>
      </w:r>
    </w:p>
    <w:p w14:paraId="25F48C55" w14:textId="231DFF1F" w:rsidR="009C1200" w:rsidRDefault="009C1200" w:rsidP="009C1200">
      <w:pPr>
        <w:jc w:val="center"/>
        <w:rPr>
          <w:rFonts w:ascii="Calibri" w:eastAsia="Times New Roman" w:hAnsi="Calibri" w:cs="Calibri"/>
          <w:color w:val="000000"/>
          <w:lang w:val="en-IE"/>
        </w:rPr>
      </w:pPr>
    </w:p>
    <w:p w14:paraId="50D10135" w14:textId="77777777" w:rsidR="009B2283" w:rsidRDefault="009B2283" w:rsidP="009C1200">
      <w:pPr>
        <w:jc w:val="center"/>
        <w:rPr>
          <w:rFonts w:ascii="Calibri" w:eastAsia="Times New Roman" w:hAnsi="Calibri" w:cs="Calibri"/>
          <w:color w:val="000000"/>
          <w:lang w:val="en-IE"/>
        </w:rPr>
      </w:pPr>
    </w:p>
    <w:p w14:paraId="0B18D9E6" w14:textId="07157D9A" w:rsidR="009C1200" w:rsidRDefault="005A212B" w:rsidP="009B2283">
      <w:pPr>
        <w:spacing w:line="360" w:lineRule="auto"/>
        <w:jc w:val="both"/>
        <w:rPr>
          <w:rFonts w:ascii="Calibri" w:eastAsia="Times New Roman" w:hAnsi="Calibri" w:cs="Calibri"/>
          <w:color w:val="000000"/>
          <w:lang w:val="en-IE"/>
        </w:rPr>
      </w:pPr>
      <w:r>
        <w:rPr>
          <w:rFonts w:ascii="Calibri" w:eastAsia="Times New Roman" w:hAnsi="Calibri" w:cs="Calibri"/>
          <w:color w:val="000000"/>
          <w:lang w:val="en-IE"/>
        </w:rPr>
        <w:t>Despite being around for over a decade, global rankings continue to exercise in incredible influence over higher education policy, institutional strategy, and student and academic prestige. Even when they are not explicit, there is often an implicit pursuit of world-class status – because of the correlation between rankings and the geopolitical political positioning of nations and institutions. This has led many governments to target</w:t>
      </w:r>
      <w:r w:rsidR="009B2283">
        <w:rPr>
          <w:rFonts w:ascii="Calibri" w:eastAsia="Times New Roman" w:hAnsi="Calibri" w:cs="Calibri"/>
          <w:color w:val="000000"/>
          <w:lang w:val="en-IE"/>
        </w:rPr>
        <w:t>, directly and indirectly,</w:t>
      </w:r>
      <w:r>
        <w:rPr>
          <w:rFonts w:ascii="Calibri" w:eastAsia="Times New Roman" w:hAnsi="Calibri" w:cs="Calibri"/>
          <w:color w:val="000000"/>
          <w:lang w:val="en-IE"/>
        </w:rPr>
        <w:t xml:space="preserve"> policies and funding to support and strengthen universities capable of competing at the highest </w:t>
      </w:r>
      <w:r w:rsidR="009B2283">
        <w:rPr>
          <w:rFonts w:ascii="Calibri" w:eastAsia="Times New Roman" w:hAnsi="Calibri" w:cs="Calibri"/>
          <w:color w:val="000000"/>
          <w:lang w:val="en-IE"/>
        </w:rPr>
        <w:t xml:space="preserve">international </w:t>
      </w:r>
      <w:r>
        <w:rPr>
          <w:rFonts w:ascii="Calibri" w:eastAsia="Times New Roman" w:hAnsi="Calibri" w:cs="Calibri"/>
          <w:color w:val="000000"/>
          <w:lang w:val="en-IE"/>
        </w:rPr>
        <w:t xml:space="preserve">level, according to </w:t>
      </w:r>
      <w:r w:rsidR="009B2283">
        <w:rPr>
          <w:rFonts w:ascii="Calibri" w:eastAsia="Times New Roman" w:hAnsi="Calibri" w:cs="Calibri"/>
          <w:color w:val="000000"/>
          <w:lang w:val="en-IE"/>
        </w:rPr>
        <w:t xml:space="preserve">the </w:t>
      </w:r>
      <w:r>
        <w:rPr>
          <w:rFonts w:ascii="Calibri" w:eastAsia="Times New Roman" w:hAnsi="Calibri" w:cs="Calibri"/>
          <w:color w:val="000000"/>
          <w:lang w:val="en-IE"/>
        </w:rPr>
        <w:t xml:space="preserve">rankings. </w:t>
      </w:r>
      <w:r w:rsidR="009B2283">
        <w:rPr>
          <w:rFonts w:ascii="Calibri" w:eastAsia="Times New Roman" w:hAnsi="Calibri" w:cs="Calibri"/>
          <w:color w:val="000000"/>
          <w:lang w:val="en-IE"/>
        </w:rPr>
        <w:t>Recent studies in the UK point to continued socio-economic tracking of higher education</w:t>
      </w:r>
      <w:r w:rsidR="003A6FEF">
        <w:rPr>
          <w:rFonts w:ascii="Calibri" w:eastAsia="Times New Roman" w:hAnsi="Calibri" w:cs="Calibri"/>
          <w:color w:val="000000"/>
          <w:lang w:val="en-IE"/>
        </w:rPr>
        <w:t xml:space="preserve"> </w:t>
      </w:r>
      <w:r w:rsidR="003A6FEF">
        <w:rPr>
          <w:rFonts w:ascii="Calibri" w:eastAsia="Times New Roman" w:hAnsi="Calibri" w:cs="Calibri"/>
          <w:color w:val="000000"/>
          <w:lang w:val="en-IE"/>
        </w:rPr>
        <w:t>and career opportunities</w:t>
      </w:r>
      <w:r w:rsidR="003A6FEF">
        <w:rPr>
          <w:rFonts w:ascii="Calibri" w:eastAsia="Times New Roman" w:hAnsi="Calibri" w:cs="Calibri"/>
          <w:color w:val="000000"/>
          <w:lang w:val="en-IE"/>
        </w:rPr>
        <w:t xml:space="preserve"> </w:t>
      </w:r>
      <w:r w:rsidR="003A6FEF">
        <w:rPr>
          <w:rFonts w:ascii="Calibri" w:eastAsia="Times New Roman" w:hAnsi="Calibri" w:cs="Calibri"/>
          <w:color w:val="000000"/>
          <w:lang w:val="en-IE"/>
        </w:rPr>
        <w:fldChar w:fldCharType="begin" w:fldLock="1"/>
      </w:r>
      <w:r w:rsidR="003A6FEF">
        <w:rPr>
          <w:rFonts w:ascii="Calibri" w:eastAsia="Times New Roman" w:hAnsi="Calibri" w:cs="Calibri"/>
          <w:color w:val="000000"/>
          <w:lang w:val="en-IE"/>
        </w:rPr>
        <w:instrText>ADDIN CSL_CITATION {"citationItems":[{"id":"ITEM-1","itemData":{"DOI":"10.1920/wp.ifs.2016.1606","abstract":"This paper uses tax and student loan administrative data to measure how the earnings of En- glish graduates around 10 years into the labour market vary with gender, institution attended, subject and socioeconomic background. The English system is competitive to enter, with some universities demanding very high entrance grades. Students specialise early, nominating their subject before they enter higher education (HE). We nd subjects like Medicine, Economics, Law, Maths and Business deliver substantial premiums over typical graduates, while disappoint- ingly, Creative Arts delivers earnings which are roughly typical of non-graduates. Considerable variation in earnings is observed across di erent institutions. Much of this is explained by stu- dent background and subject mix. Based on a simple measure of parental income, we see that students from higher income families have median earnings which are around 25% more than those from lower income families. Once we control for institution attended and subject chosen, this premium falls to around 10%.","author":[{"dropping-particle":"","family":"Britton","given":"Jack","non-dropping-particle":"","parse-names":false,"suffix":""},{"dropping-particle":"","family":"Shephard","given":"Neil","non-dropping-particle":"","parse-names":false,"suffix":""},{"dropping-particle":"","family":"Vignoles","given":"Anna","non-dropping-particle":"","parse-names":false,"suffix":""},{"dropping-particle":"","family":"Dearden","given":"Lorraine","non-dropping-particle":"","parse-names":false,"suffix":""}],"id":"ITEM-1","issued":{"date-parts":[["2016"]]},"page":"1-3","publisher":"Institute for Fiscal Studies","publisher-place":"London","title":"How English domiciled graduate earnings vary with gender, institution attended, subject and socio-economic background","type":"article"},"uris":["http://www.mendeley.com/documents/?uuid=f275d7af-5ba3-4a60-857b-a18cfb9a29c7"]},{"id":"ITEM-2","itemData":{"abstract":"What and where you study matter for graduate earnings – but so does parents' income Graduates from richer family backgrounds earn significantly more after graduation than their poorer counterparts, even after completing the same degrees from the same universities. This is one of many findings in new research published today which looks at the link between earnings and students' background, degree subject and university attended. The research used anonymised tax data and student loan records for 260,000 students up to ten years after graduation. This is the first time a 'big data' approach has been used to look at how graduate earnings vary by institution of study, degree subject and parental income. The data set includes cohorts of graduates who started university in the period 1998–2011 and whose earnings (or lack of earnings) are then observed over a number of tax years. In the paper, we largely focus on the tax year 2012/13. Funded by the Nuffield Foundation, and carried out by researchers at the Institute for Fiscal Studies (IFS), Institute of Education (IoE), Harvard University and the University of Cambridge, the study found that those from richer backgrounds (defined as being from approximately the top 20% of households of those applying to higher education in terms of family income) did better in the labour market than the other 80% of students: • The average gap in earnings between students from higher-and","author":[{"dropping-particle":"","family":"Britton","given":"Jack","non-dropping-particle":"","parse-names":false,"suffix":""},{"dropping-particle":"","family":"Dearden","given":"Lorraine","non-dropping-particle":"","parse-names":false,"suffix":""},{"dropping-particle":"","family":"Shephard","given":"Neil","non-dropping-particle":"","parse-names":false,"suffix":""},{"dropping-particle":"","family":"Vignoles","given":"","non-dropping-particle":"","parse-names":false,"suffix":""}],"id":"ITEM-2","issued":{"date-parts":[["2016"]]},"page":"1-2","publisher":"Institute for Fiscal Studies","publisher-place":"London","title":"What and where you study matter for graduate earnings – but so does parents’ income","type":"article"},"uris":["http://www.mendeley.com/documents/?uuid=f6d0ce4c-b8a0-4735-a1b6-bb824b6c3111"]}],"mendeley":{"formattedCitation":"(Britton, Dearden, Shephard, &amp; Vignoles, 2016; Britton, Shephard, Vignoles, &amp; Dearden, 2016)","plainTextFormattedCitation":"(Britton, Dearden, Shephard, &amp; Vignoles, 2016; Britton, Shephard, Vignoles, &amp; Dearden, 2016)","previouslyFormattedCitation":"(Britton, Dearden, Shephard, &amp; Vignoles, 2016; Britton, Shephard, Vignoles, &amp; Dearden, 2016)"},"properties":{"noteIndex":0},"schema":"https://github.com/citation-style-language/schema/raw/master/csl-citation.json"}</w:instrText>
      </w:r>
      <w:r w:rsidR="003A6FEF">
        <w:rPr>
          <w:rFonts w:ascii="Calibri" w:eastAsia="Times New Roman" w:hAnsi="Calibri" w:cs="Calibri"/>
          <w:color w:val="000000"/>
          <w:lang w:val="en-IE"/>
        </w:rPr>
        <w:fldChar w:fldCharType="separate"/>
      </w:r>
      <w:r w:rsidR="003A6FEF" w:rsidRPr="003A6FEF">
        <w:rPr>
          <w:rFonts w:ascii="Calibri" w:eastAsia="Times New Roman" w:hAnsi="Calibri" w:cs="Calibri"/>
          <w:noProof/>
          <w:color w:val="000000"/>
          <w:lang w:val="en-IE"/>
        </w:rPr>
        <w:t>(Britton, Dearden, Shephard, &amp; Vignoles, 2016; Britton, Shephard, Vignoles, &amp; Dearden, 2016)</w:t>
      </w:r>
      <w:r w:rsidR="003A6FEF">
        <w:rPr>
          <w:rFonts w:ascii="Calibri" w:eastAsia="Times New Roman" w:hAnsi="Calibri" w:cs="Calibri"/>
          <w:color w:val="000000"/>
          <w:lang w:val="en-IE"/>
        </w:rPr>
        <w:fldChar w:fldCharType="end"/>
      </w:r>
      <w:r w:rsidR="009B2283">
        <w:rPr>
          <w:rFonts w:ascii="Calibri" w:eastAsia="Times New Roman" w:hAnsi="Calibri" w:cs="Calibri"/>
          <w:color w:val="000000"/>
          <w:lang w:val="en-IE"/>
        </w:rPr>
        <w:t>, and vulnerability of some of the most vulnerable institutions in the most vulnerable places</w:t>
      </w:r>
      <w:r w:rsidR="003A6FEF">
        <w:rPr>
          <w:rFonts w:ascii="Calibri" w:eastAsia="Times New Roman" w:hAnsi="Calibri" w:cs="Calibri"/>
          <w:color w:val="000000"/>
          <w:lang w:val="en-IE"/>
        </w:rPr>
        <w:t xml:space="preserve"> </w:t>
      </w:r>
      <w:r w:rsidR="003A6FEF">
        <w:rPr>
          <w:rFonts w:ascii="Calibri" w:eastAsia="Times New Roman" w:hAnsi="Calibri" w:cs="Calibri"/>
          <w:color w:val="000000"/>
          <w:lang w:val="en-IE"/>
        </w:rPr>
        <w:fldChar w:fldCharType="begin" w:fldLock="1"/>
      </w:r>
      <w:r w:rsidR="00706C08">
        <w:rPr>
          <w:rFonts w:ascii="Calibri" w:eastAsia="Times New Roman" w:hAnsi="Calibri" w:cs="Calibri"/>
          <w:color w:val="000000"/>
          <w:lang w:val="en-IE"/>
        </w:rPr>
        <w:instrText>ADDIN CSL_CITATION {"citationItems":[{"id":"ITEM-1","itemData":{"DOI":"10.1093/cjres/rsu004","ISSN":"1752-1378","author":[{"dropping-particle":"","family":"Goddard","given":"J.","non-dropping-particle":"","parse-names":false,"suffix":""},{"dropping-particle":"","family":"Coombes","given":"M.","non-dropping-particle":"","parse-names":false,"suffix":""},{"dropping-particle":"","family":"Kempton","given":"L.","non-dropping-particle":"","parse-names":false,"suffix":""},{"dropping-particle":"","family":"Vallance","given":"P.","non-dropping-particle":"","parse-names":false,"suffix":""}],"container-title":"Cambridge Journal of Regions, Economy and Society","id":"ITEM-1","issue":"2","issued":{"date-parts":[["2014","4","16"]]},"page":"307-325","title":"Universities as anchor institutions in cities in a turbulent funding environment: vulnerable institutions and vulnerable places in England","type":"article-journal","volume":"7"},"uris":["http://www.mendeley.com/documents/?uuid=f247fb68-2708-47bb-86cd-ef3765dd97c2"]}],"mendeley":{"formattedCitation":"(Goddard, Coombes, Kempton, &amp; Vallance, 2014)","plainTextFormattedCitation":"(Goddard, Coombes, Kempton, &amp; Vallance, 2014)","previouslyFormattedCitation":"(Goddard, Coombes, Kempton, &amp; Vallance, 2014)"},"properties":{"noteIndex":0},"schema":"https://github.com/citation-style-language/schema/raw/master/csl-citation.json"}</w:instrText>
      </w:r>
      <w:r w:rsidR="003A6FEF">
        <w:rPr>
          <w:rFonts w:ascii="Calibri" w:eastAsia="Times New Roman" w:hAnsi="Calibri" w:cs="Calibri"/>
          <w:color w:val="000000"/>
          <w:lang w:val="en-IE"/>
        </w:rPr>
        <w:fldChar w:fldCharType="separate"/>
      </w:r>
      <w:r w:rsidR="003A6FEF" w:rsidRPr="003A6FEF">
        <w:rPr>
          <w:rFonts w:ascii="Calibri" w:eastAsia="Times New Roman" w:hAnsi="Calibri" w:cs="Calibri"/>
          <w:noProof/>
          <w:color w:val="000000"/>
          <w:lang w:val="en-IE"/>
        </w:rPr>
        <w:t>(Goddard, Coombes, Kempton, &amp; Vallance, 2014)</w:t>
      </w:r>
      <w:r w:rsidR="003A6FEF">
        <w:rPr>
          <w:rFonts w:ascii="Calibri" w:eastAsia="Times New Roman" w:hAnsi="Calibri" w:cs="Calibri"/>
          <w:color w:val="000000"/>
          <w:lang w:val="en-IE"/>
        </w:rPr>
        <w:fldChar w:fldCharType="end"/>
      </w:r>
      <w:r w:rsidR="009B2283">
        <w:rPr>
          <w:rFonts w:ascii="Calibri" w:eastAsia="Times New Roman" w:hAnsi="Calibri" w:cs="Calibri"/>
          <w:color w:val="000000"/>
          <w:lang w:val="en-IE"/>
        </w:rPr>
        <w:t xml:space="preserve">. </w:t>
      </w:r>
      <w:r w:rsidR="00706C08">
        <w:rPr>
          <w:rFonts w:ascii="Calibri" w:eastAsia="Times New Roman" w:hAnsi="Calibri" w:cs="Calibri"/>
          <w:color w:val="000000"/>
          <w:lang w:val="en-IE"/>
        </w:rPr>
        <w:t xml:space="preserve">This talk discusses </w:t>
      </w:r>
      <w:r w:rsidR="003A6FEF">
        <w:rPr>
          <w:rFonts w:ascii="Calibri" w:eastAsia="Times New Roman" w:hAnsi="Calibri" w:cs="Calibri"/>
          <w:color w:val="000000"/>
          <w:lang w:val="en-IE"/>
        </w:rPr>
        <w:t>the implications of such strategies and policies on the higher education system as a whole</w:t>
      </w:r>
      <w:r w:rsidR="00706C08">
        <w:rPr>
          <w:rFonts w:ascii="Calibri" w:eastAsia="Times New Roman" w:hAnsi="Calibri" w:cs="Calibri"/>
          <w:color w:val="000000"/>
          <w:lang w:val="en-IE"/>
        </w:rPr>
        <w:t>, and asks if a world-class strategy can lift all boats.</w:t>
      </w:r>
    </w:p>
    <w:p w14:paraId="5E80409B" w14:textId="77777777" w:rsidR="00706C08" w:rsidRDefault="00706C08" w:rsidP="009B2283">
      <w:pPr>
        <w:spacing w:line="360" w:lineRule="auto"/>
        <w:jc w:val="both"/>
        <w:rPr>
          <w:rFonts w:ascii="Calibri" w:eastAsia="Times New Roman" w:hAnsi="Calibri" w:cs="Calibri"/>
          <w:color w:val="000000"/>
          <w:lang w:val="en-IE"/>
        </w:rPr>
      </w:pPr>
      <w:bookmarkStart w:id="0" w:name="_GoBack"/>
      <w:bookmarkEnd w:id="0"/>
    </w:p>
    <w:p w14:paraId="73D3A759" w14:textId="77777777" w:rsidR="009C1200" w:rsidRDefault="009C1200" w:rsidP="005A212B">
      <w:pPr>
        <w:rPr>
          <w:rFonts w:ascii="Calibri" w:eastAsia="Times New Roman" w:hAnsi="Calibri" w:cs="Calibri"/>
          <w:color w:val="000000"/>
          <w:lang w:val="en-IE"/>
        </w:rPr>
      </w:pPr>
    </w:p>
    <w:p w14:paraId="3F47712E" w14:textId="5164120E" w:rsidR="00706C08" w:rsidRPr="00706C08" w:rsidRDefault="00706C08" w:rsidP="00706C08">
      <w:pPr>
        <w:widowControl w:val="0"/>
        <w:autoSpaceDE w:val="0"/>
        <w:autoSpaceDN w:val="0"/>
        <w:adjustRightInd w:val="0"/>
        <w:ind w:left="480" w:hanging="480"/>
        <w:rPr>
          <w:rFonts w:ascii="Calibri" w:hAnsi="Calibri" w:cs="Calibri"/>
          <w:noProof/>
          <w:lang w:val="en-US"/>
        </w:rPr>
      </w:pPr>
      <w:r>
        <w:fldChar w:fldCharType="begin" w:fldLock="1"/>
      </w:r>
      <w:r>
        <w:instrText xml:space="preserve">ADDIN Mendeley Bibliography CSL_BIBLIOGRAPHY </w:instrText>
      </w:r>
      <w:r>
        <w:fldChar w:fldCharType="separate"/>
      </w:r>
      <w:r w:rsidRPr="00706C08">
        <w:rPr>
          <w:rFonts w:ascii="Calibri" w:hAnsi="Calibri" w:cs="Calibri"/>
          <w:noProof/>
          <w:lang w:val="en-US"/>
        </w:rPr>
        <w:t>Britton, J., Dearden, L., Shephard, N., &amp; Vignoles. (2016). What and where you study matter for graduate earnings – but so does parents’ income. London: Institute for Fiscal Studies. Retrieved from http://www.ifs.org.uk/uploads/publications/pr/graduate_earnings_130416.pdf</w:t>
      </w:r>
    </w:p>
    <w:p w14:paraId="32CDD91D" w14:textId="77777777" w:rsidR="00706C08" w:rsidRPr="00706C08" w:rsidRDefault="00706C08" w:rsidP="00706C08">
      <w:pPr>
        <w:widowControl w:val="0"/>
        <w:autoSpaceDE w:val="0"/>
        <w:autoSpaceDN w:val="0"/>
        <w:adjustRightInd w:val="0"/>
        <w:ind w:left="480" w:hanging="480"/>
        <w:rPr>
          <w:rFonts w:ascii="Calibri" w:hAnsi="Calibri" w:cs="Calibri"/>
          <w:noProof/>
          <w:lang w:val="en-US"/>
        </w:rPr>
      </w:pPr>
      <w:r w:rsidRPr="00706C08">
        <w:rPr>
          <w:rFonts w:ascii="Calibri" w:hAnsi="Calibri" w:cs="Calibri"/>
          <w:noProof/>
          <w:lang w:val="en-US"/>
        </w:rPr>
        <w:t>Britton, J., Shephard, N., Vignoles, A., &amp; Dearden, L. (2016). How English domiciled graduate earnings vary with gender, institution attended, subject and socio-economic background. London: Institute for Fiscal Studies. http://doi.org/10.1920/wp.ifs.2016.1606</w:t>
      </w:r>
    </w:p>
    <w:p w14:paraId="1E0EFA7D" w14:textId="77777777" w:rsidR="00706C08" w:rsidRPr="00706C08" w:rsidRDefault="00706C08" w:rsidP="00706C08">
      <w:pPr>
        <w:widowControl w:val="0"/>
        <w:autoSpaceDE w:val="0"/>
        <w:autoSpaceDN w:val="0"/>
        <w:adjustRightInd w:val="0"/>
        <w:ind w:left="480" w:hanging="480"/>
        <w:rPr>
          <w:rFonts w:ascii="Calibri" w:hAnsi="Calibri" w:cs="Calibri"/>
          <w:noProof/>
        </w:rPr>
      </w:pPr>
      <w:r w:rsidRPr="00706C08">
        <w:rPr>
          <w:rFonts w:ascii="Calibri" w:hAnsi="Calibri" w:cs="Calibri"/>
          <w:noProof/>
          <w:lang w:val="en-US"/>
        </w:rPr>
        <w:t xml:space="preserve">Goddard, J., Coombes, M., Kempton, L., &amp; Vallance, P. (2014). Universities as anchor institutions in cities in a turbulent funding environment: vulnerable institutions and vulnerable places in England. </w:t>
      </w:r>
      <w:r w:rsidRPr="00706C08">
        <w:rPr>
          <w:rFonts w:ascii="Calibri" w:hAnsi="Calibri" w:cs="Calibri"/>
          <w:i/>
          <w:iCs/>
          <w:noProof/>
          <w:lang w:val="en-US"/>
        </w:rPr>
        <w:t>Cambridge Journal of Regions, Economy and Society</w:t>
      </w:r>
      <w:r w:rsidRPr="00706C08">
        <w:rPr>
          <w:rFonts w:ascii="Calibri" w:hAnsi="Calibri" w:cs="Calibri"/>
          <w:noProof/>
          <w:lang w:val="en-US"/>
        </w:rPr>
        <w:t xml:space="preserve">, </w:t>
      </w:r>
      <w:r w:rsidRPr="00706C08">
        <w:rPr>
          <w:rFonts w:ascii="Calibri" w:hAnsi="Calibri" w:cs="Calibri"/>
          <w:i/>
          <w:iCs/>
          <w:noProof/>
          <w:lang w:val="en-US"/>
        </w:rPr>
        <w:t>7</w:t>
      </w:r>
      <w:r w:rsidRPr="00706C08">
        <w:rPr>
          <w:rFonts w:ascii="Calibri" w:hAnsi="Calibri" w:cs="Calibri"/>
          <w:noProof/>
          <w:lang w:val="en-US"/>
        </w:rPr>
        <w:t>(2), 307–325. http://doi.org/10.1093/cjres/rsu004</w:t>
      </w:r>
    </w:p>
    <w:p w14:paraId="7AADBBD9" w14:textId="5C9CE394" w:rsidR="00FE6103" w:rsidRDefault="00706C08">
      <w:r>
        <w:fldChar w:fldCharType="end"/>
      </w:r>
    </w:p>
    <w:sectPr w:rsidR="00FE6103" w:rsidSect="00E268D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EC0"/>
    <w:rsid w:val="00285139"/>
    <w:rsid w:val="003A6FEF"/>
    <w:rsid w:val="005A212B"/>
    <w:rsid w:val="00706C08"/>
    <w:rsid w:val="00726429"/>
    <w:rsid w:val="00740D13"/>
    <w:rsid w:val="009B2283"/>
    <w:rsid w:val="009C1200"/>
    <w:rsid w:val="009D053C"/>
    <w:rsid w:val="00E268D4"/>
    <w:rsid w:val="00E37AAD"/>
    <w:rsid w:val="00F22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DC7AF"/>
  <w14:defaultImageDpi w14:val="32767"/>
  <w15:chartTrackingRefBased/>
  <w15:docId w15:val="{99893112-A258-7C4F-8780-2C08F620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22EC0"/>
    <w:rPr>
      <w:sz w:val="16"/>
      <w:szCs w:val="16"/>
    </w:rPr>
  </w:style>
  <w:style w:type="paragraph" w:styleId="CommentText">
    <w:name w:val="annotation text"/>
    <w:basedOn w:val="Normal"/>
    <w:link w:val="CommentTextChar"/>
    <w:uiPriority w:val="99"/>
    <w:semiHidden/>
    <w:unhideWhenUsed/>
    <w:rsid w:val="00F22EC0"/>
    <w:rPr>
      <w:sz w:val="20"/>
      <w:szCs w:val="20"/>
    </w:rPr>
  </w:style>
  <w:style w:type="character" w:customStyle="1" w:styleId="CommentTextChar">
    <w:name w:val="Comment Text Char"/>
    <w:basedOn w:val="DefaultParagraphFont"/>
    <w:link w:val="CommentText"/>
    <w:uiPriority w:val="99"/>
    <w:semiHidden/>
    <w:rsid w:val="00F22EC0"/>
    <w:rPr>
      <w:sz w:val="20"/>
      <w:szCs w:val="20"/>
    </w:rPr>
  </w:style>
  <w:style w:type="paragraph" w:styleId="CommentSubject">
    <w:name w:val="annotation subject"/>
    <w:basedOn w:val="CommentText"/>
    <w:next w:val="CommentText"/>
    <w:link w:val="CommentSubjectChar"/>
    <w:uiPriority w:val="99"/>
    <w:semiHidden/>
    <w:unhideWhenUsed/>
    <w:rsid w:val="00F22EC0"/>
    <w:rPr>
      <w:b/>
      <w:bCs/>
    </w:rPr>
  </w:style>
  <w:style w:type="character" w:customStyle="1" w:styleId="CommentSubjectChar">
    <w:name w:val="Comment Subject Char"/>
    <w:basedOn w:val="CommentTextChar"/>
    <w:link w:val="CommentSubject"/>
    <w:uiPriority w:val="99"/>
    <w:semiHidden/>
    <w:rsid w:val="00F22EC0"/>
    <w:rPr>
      <w:b/>
      <w:bCs/>
      <w:sz w:val="20"/>
      <w:szCs w:val="20"/>
    </w:rPr>
  </w:style>
  <w:style w:type="paragraph" w:styleId="BalloonText">
    <w:name w:val="Balloon Text"/>
    <w:basedOn w:val="Normal"/>
    <w:link w:val="BalloonTextChar"/>
    <w:uiPriority w:val="99"/>
    <w:semiHidden/>
    <w:unhideWhenUsed/>
    <w:rsid w:val="00F22E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2EC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5755">
      <w:bodyDiv w:val="1"/>
      <w:marLeft w:val="0"/>
      <w:marRight w:val="0"/>
      <w:marTop w:val="0"/>
      <w:marBottom w:val="0"/>
      <w:divBdr>
        <w:top w:val="none" w:sz="0" w:space="0" w:color="auto"/>
        <w:left w:val="none" w:sz="0" w:space="0" w:color="auto"/>
        <w:bottom w:val="none" w:sz="0" w:space="0" w:color="auto"/>
        <w:right w:val="none" w:sz="0" w:space="0" w:color="auto"/>
      </w:divBdr>
    </w:div>
    <w:div w:id="100921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0ED7B-CD65-3B42-B354-46FDFF92D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2018-10-10T06:12:00Z</dcterms:created>
  <dcterms:modified xsi:type="dcterms:W3CDTF">2018-10-10T11:03:00Z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fb938a6f-1635-39f1-82c7-1ab2e880d111</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