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875" w14:textId="2DECF278" w:rsidR="0092005B" w:rsidRDefault="0092005B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bookmarkStart w:id="0" w:name="_Hlk74563579"/>
      <w:r w:rsidRPr="00A07899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Nominations for election to SRHE Governing </w:t>
      </w:r>
      <w:r w:rsidR="00442F8E" w:rsidRPr="00A07899">
        <w:rPr>
          <w:rFonts w:asciiTheme="majorHAnsi" w:eastAsiaTheme="minorHAnsi" w:hAnsiTheme="majorHAnsi" w:cstheme="majorHAnsi"/>
          <w:b/>
          <w:bCs/>
          <w:sz w:val="28"/>
          <w:szCs w:val="28"/>
        </w:rPr>
        <w:t>Council 2022</w:t>
      </w:r>
      <w:r w:rsidR="00FD0619">
        <w:rPr>
          <w:rFonts w:asciiTheme="majorHAnsi" w:eastAsiaTheme="minorHAnsi" w:hAnsiTheme="majorHAnsi" w:cstheme="majorHAnsi"/>
          <w:b/>
          <w:bCs/>
          <w:sz w:val="28"/>
          <w:szCs w:val="28"/>
        </w:rPr>
        <w:t>-2024</w:t>
      </w:r>
      <w:r w:rsidRPr="00A07899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        </w:t>
      </w:r>
    </w:p>
    <w:p w14:paraId="0F593CE0" w14:textId="00A0FE3D" w:rsidR="00A07899" w:rsidRPr="00A07899" w:rsidRDefault="00A07899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A07899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Notes for Guidance </w:t>
      </w:r>
    </w:p>
    <w:p w14:paraId="6D8118DE" w14:textId="77777777" w:rsidR="00A07899" w:rsidRDefault="00A07899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>How to Apply</w:t>
      </w:r>
    </w:p>
    <w:p w14:paraId="0CA3DF08" w14:textId="034727CF" w:rsidR="00A07899" w:rsidRDefault="000F0BAB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F0BAB">
        <w:rPr>
          <w:rFonts w:asciiTheme="minorHAnsi" w:eastAsiaTheme="minorHAnsi" w:hAnsiTheme="minorHAnsi" w:cstheme="minorHAnsi"/>
          <w:sz w:val="22"/>
          <w:szCs w:val="22"/>
        </w:rPr>
        <w:t>Appointment to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 Governing Council </w:t>
      </w:r>
      <w:r w:rsidR="00FC194B" w:rsidRPr="000F0BAB">
        <w:rPr>
          <w:rFonts w:asciiTheme="minorHAnsi" w:eastAsiaTheme="minorHAnsi" w:hAnsiTheme="minorHAnsi" w:cstheme="minorHAnsi"/>
          <w:sz w:val="22"/>
          <w:szCs w:val="22"/>
        </w:rPr>
        <w:t>as a Trustee of the Society is through an open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nominations process,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requiring the support of a proposer and two seconders, followed by</w:t>
      </w:r>
      <w:r w:rsidR="00BD7DA0">
        <w:rPr>
          <w:rFonts w:asciiTheme="minorHAnsi" w:eastAsiaTheme="minorHAnsi" w:hAnsiTheme="minorHAnsi" w:cstheme="minorHAnsi"/>
          <w:sz w:val="22"/>
          <w:szCs w:val="22"/>
        </w:rPr>
        <w:t xml:space="preserve"> a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D7DA0">
        <w:rPr>
          <w:rFonts w:asciiTheme="minorHAnsi" w:eastAsiaTheme="minorHAnsi" w:hAnsiTheme="minorHAnsi" w:cstheme="minorHAnsi"/>
          <w:sz w:val="22"/>
          <w:szCs w:val="22"/>
        </w:rPr>
        <w:t>closed ballot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 of the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73A93">
        <w:rPr>
          <w:rFonts w:asciiTheme="minorHAnsi" w:eastAsiaTheme="minorHAnsi" w:hAnsiTheme="minorHAnsi" w:cstheme="minorHAnsi"/>
          <w:sz w:val="22"/>
          <w:szCs w:val="22"/>
        </w:rPr>
        <w:t xml:space="preserve">Society </w:t>
      </w:r>
      <w:r w:rsidR="00973A93" w:rsidRPr="000F0BAB">
        <w:rPr>
          <w:rFonts w:asciiTheme="minorHAnsi" w:eastAsiaTheme="minorHAnsi" w:hAnsiTheme="minorHAnsi" w:cstheme="minorHAnsi"/>
          <w:sz w:val="22"/>
          <w:szCs w:val="22"/>
        </w:rPr>
        <w:t>members</w:t>
      </w:r>
      <w:r w:rsidR="00973A93">
        <w:rPr>
          <w:rFonts w:asciiTheme="minorHAnsi" w:eastAsiaTheme="minorHAnsi" w:hAnsiTheme="minorHAnsi" w:cstheme="minorHAnsi"/>
          <w:sz w:val="22"/>
          <w:szCs w:val="22"/>
        </w:rPr>
        <w:t>hip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 on all nominations received. The voting system is by single transferable vote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and </w:t>
      </w:r>
      <w:r w:rsidR="00BD7DA0">
        <w:rPr>
          <w:rFonts w:asciiTheme="minorHAnsi" w:eastAsia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eastAsiaTheme="minorHAnsi" w:hAnsiTheme="minorHAnsi" w:cstheme="minorHAnsi"/>
          <w:sz w:val="22"/>
          <w:szCs w:val="22"/>
        </w:rPr>
        <w:t>conducted by an external provider of election services.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E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>lections are held with a view to maintaining a balance and breadth of knowledge and expertise, the provision of specialist knowledge in key areas and achieving diversity and inclusivity in the membership of the Council.</w:t>
      </w:r>
    </w:p>
    <w:p w14:paraId="1A84E047" w14:textId="77AAE727" w:rsidR="00973A93" w:rsidRDefault="00973A93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Elected Trustees are appointed for a three-year term of office. This period of office runs from 1 January following their election through to 31 December.</w:t>
      </w:r>
    </w:p>
    <w:p w14:paraId="7272CCF5" w14:textId="6E1298F9" w:rsidR="00973A93" w:rsidRPr="00973A93" w:rsidRDefault="00973A93" w:rsidP="00A07899">
      <w:pPr>
        <w:spacing w:after="160" w:line="252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73A93">
        <w:rPr>
          <w:rFonts w:asciiTheme="minorHAnsi" w:eastAsiaTheme="minorHAnsi" w:hAnsiTheme="minorHAnsi" w:cstheme="minorHAnsi"/>
          <w:b/>
          <w:bCs/>
          <w:sz w:val="22"/>
          <w:szCs w:val="22"/>
        </w:rPr>
        <w:t>The 2021 Trustee elections are for a term of office to run from 1 January 2022 to 31 December 2024.</w:t>
      </w:r>
    </w:p>
    <w:p w14:paraId="32C61ECE" w14:textId="140B8F4B" w:rsidR="000F0BAB" w:rsidRPr="000F0BAB" w:rsidRDefault="000F0BAB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0F0BAB"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Eligibility to stand for election </w:t>
      </w:r>
    </w:p>
    <w:p w14:paraId="05AFFC6B" w14:textId="6B33F0A2" w:rsidR="00A07899" w:rsidRDefault="00FC194B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F0BAB">
        <w:rPr>
          <w:rFonts w:asciiTheme="minorHAnsi" w:eastAsiaTheme="minorHAnsi" w:hAnsiTheme="minorHAnsi" w:cstheme="minorHAnsi"/>
          <w:sz w:val="22"/>
          <w:szCs w:val="22"/>
        </w:rPr>
        <w:t xml:space="preserve">All </w:t>
      </w:r>
      <w:r w:rsidR="00D11191">
        <w:rPr>
          <w:rFonts w:asciiTheme="minorHAnsi" w:eastAsiaTheme="minorHAnsi" w:hAnsiTheme="minorHAnsi" w:cstheme="minorHAnsi"/>
          <w:sz w:val="22"/>
          <w:szCs w:val="22"/>
        </w:rPr>
        <w:t>n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>ominees</w:t>
      </w:r>
      <w:r w:rsidRPr="000F0BA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>and</w:t>
      </w:r>
      <w:r w:rsidRPr="000F0BAB">
        <w:rPr>
          <w:rFonts w:asciiTheme="minorHAnsi" w:eastAsiaTheme="minorHAnsi" w:hAnsiTheme="minorHAnsi" w:cstheme="minorHAnsi"/>
          <w:sz w:val="22"/>
          <w:szCs w:val="22"/>
        </w:rPr>
        <w:t xml:space="preserve"> their proposer and seconders </w:t>
      </w:r>
      <w:r w:rsidR="00A07899" w:rsidRPr="00BD7DA0">
        <w:rPr>
          <w:rFonts w:asciiTheme="minorHAnsi" w:eastAsiaTheme="minorHAnsi" w:hAnsiTheme="minorHAnsi" w:cstheme="minorHAnsi"/>
          <w:sz w:val="22"/>
          <w:szCs w:val="22"/>
        </w:rPr>
        <w:t xml:space="preserve">must </w:t>
      </w:r>
      <w:r w:rsidR="00A07899" w:rsidRPr="000F0BAB">
        <w:rPr>
          <w:rFonts w:asciiTheme="minorHAnsi" w:eastAsiaTheme="minorHAnsi" w:hAnsiTheme="minorHAnsi" w:cstheme="minorHAnsi"/>
          <w:sz w:val="22"/>
          <w:szCs w:val="22"/>
        </w:rPr>
        <w:t xml:space="preserve">be current members of the Society. </w:t>
      </w:r>
    </w:p>
    <w:p w14:paraId="740234BA" w14:textId="70667BE4" w:rsidR="000F0BAB" w:rsidRPr="000F0BAB" w:rsidRDefault="000F0BAB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Elected </w:t>
      </w:r>
      <w:r w:rsidR="00973A93">
        <w:rPr>
          <w:rFonts w:asciiTheme="minorHAnsi" w:eastAsiaTheme="minorHAnsi" w:hAnsiTheme="minorHAnsi" w:cstheme="minorHAnsi"/>
          <w:sz w:val="22"/>
          <w:szCs w:val="22"/>
        </w:rPr>
        <w:t xml:space="preserve">‘retiring’ </w:t>
      </w:r>
      <w:r>
        <w:rPr>
          <w:rFonts w:asciiTheme="minorHAnsi" w:eastAsiaTheme="minorHAnsi" w:hAnsiTheme="minorHAnsi" w:cstheme="minorHAnsi"/>
          <w:sz w:val="22"/>
          <w:szCs w:val="22"/>
        </w:rPr>
        <w:t>trustees</w:t>
      </w:r>
      <w:r w:rsidR="00973A93">
        <w:rPr>
          <w:rFonts w:asciiTheme="minorHAnsi" w:eastAsiaTheme="minorHAnsi" w:hAnsiTheme="minorHAnsi" w:cstheme="minorHAnsi"/>
          <w:sz w:val="22"/>
          <w:szCs w:val="22"/>
        </w:rPr>
        <w:t xml:space="preserve"> reaching the end of a three-year term of office are eligible to stand fo</w:t>
      </w:r>
      <w:r w:rsidR="002D5128">
        <w:rPr>
          <w:rFonts w:asciiTheme="minorHAnsi" w:eastAsiaTheme="minorHAnsi" w:hAnsiTheme="minorHAnsi" w:cstheme="minorHAnsi"/>
          <w:sz w:val="22"/>
          <w:szCs w:val="22"/>
        </w:rPr>
        <w:t xml:space="preserve">r    </w:t>
      </w:r>
      <w:r w:rsidR="00973A93">
        <w:rPr>
          <w:rFonts w:asciiTheme="minorHAnsi" w:eastAsiaTheme="minorHAnsi" w:hAnsiTheme="minorHAnsi" w:cstheme="minorHAnsi"/>
          <w:sz w:val="22"/>
          <w:szCs w:val="22"/>
        </w:rPr>
        <w:t xml:space="preserve"> re-election, subject to a maximum term of three consecutive terms of office (a maximum of 9 consecutive years in total). </w:t>
      </w:r>
    </w:p>
    <w:p w14:paraId="4B73456D" w14:textId="77777777" w:rsidR="00A07899" w:rsidRPr="000F0BAB" w:rsidRDefault="00A07899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F0BAB">
        <w:rPr>
          <w:rFonts w:asciiTheme="minorHAnsi" w:eastAsiaTheme="minorHAnsi" w:hAnsiTheme="minorHAnsi" w:cstheme="minorHAnsi"/>
          <w:sz w:val="22"/>
          <w:szCs w:val="22"/>
        </w:rPr>
        <w:t>All individuals elected to the Governing Council must maintain their membership of the Society for the full duration of their period of office.</w:t>
      </w:r>
    </w:p>
    <w:p w14:paraId="203B350D" w14:textId="77777777" w:rsidR="00A07899" w:rsidRDefault="00A07899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>Election procedures</w:t>
      </w:r>
    </w:p>
    <w:p w14:paraId="1A6EEE05" w14:textId="6A326C19" w:rsidR="00A07899" w:rsidRDefault="00A07899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>Timetable for Elections to Governing Council 202</w:t>
      </w:r>
      <w:r w:rsidR="00973A93"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>2-2024</w:t>
      </w:r>
    </w:p>
    <w:p w14:paraId="2CADF56F" w14:textId="77777777" w:rsidR="00A07899" w:rsidRPr="00BD7DA0" w:rsidRDefault="00A07899" w:rsidP="00BD7DA0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•   19 July 2021: Call for Nominations </w:t>
      </w:r>
    </w:p>
    <w:p w14:paraId="28AD5EF8" w14:textId="42A36E96" w:rsidR="00A07899" w:rsidRPr="00BD7DA0" w:rsidRDefault="00A07899" w:rsidP="00BD7DA0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t>•   1 August-16 September 2021: Conversations with nominees</w:t>
      </w:r>
      <w:r w:rsidR="00BB0491">
        <w:rPr>
          <w:rFonts w:asciiTheme="minorHAnsi" w:eastAsiaTheme="minorHAnsi" w:hAnsiTheme="minorHAnsi" w:cstheme="minorHAnsi"/>
          <w:sz w:val="22"/>
          <w:szCs w:val="22"/>
        </w:rPr>
        <w:t xml:space="preserve"> held</w:t>
      </w:r>
    </w:p>
    <w:p w14:paraId="1E211A0D" w14:textId="77777777" w:rsidR="00A07899" w:rsidRPr="00BD7DA0" w:rsidRDefault="00A07899" w:rsidP="00BD7DA0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•  </w:t>
      </w:r>
      <w:r w:rsidRPr="00FD0619">
        <w:rPr>
          <w:rFonts w:asciiTheme="minorHAnsi" w:eastAsiaTheme="minorHAnsi" w:hAnsiTheme="minorHAnsi" w:cstheme="minorHAnsi"/>
          <w:b/>
          <w:bCs/>
          <w:sz w:val="22"/>
          <w:szCs w:val="22"/>
        </w:rPr>
        <w:t>21 September 2021: Nominations close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6F122E9" w14:textId="2E5199A5" w:rsidR="00A07899" w:rsidRPr="00BD7DA0" w:rsidRDefault="00A07899" w:rsidP="00BD7DA0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t>•  1 October-10th October</w:t>
      </w:r>
      <w:r w:rsidR="00E64F55">
        <w:rPr>
          <w:rFonts w:asciiTheme="minorHAnsi" w:eastAsiaTheme="minorHAnsi" w:hAnsiTheme="minorHAnsi" w:cstheme="minorHAnsi"/>
          <w:sz w:val="22"/>
          <w:szCs w:val="22"/>
        </w:rPr>
        <w:t xml:space="preserve"> 2021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: Voting period (online) </w:t>
      </w:r>
    </w:p>
    <w:p w14:paraId="3349AD40" w14:textId="698E66E2" w:rsidR="00377E7B" w:rsidRPr="00E64F55" w:rsidRDefault="00A07899" w:rsidP="00E64F55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eastAsiaTheme="minorHAnsi"/>
        </w:rPr>
        <w:t xml:space="preserve">•  </w:t>
      </w:r>
      <w:r w:rsidRPr="00E64F55">
        <w:rPr>
          <w:rFonts w:asciiTheme="minorHAnsi" w:eastAsiaTheme="minorHAnsi" w:hAnsiTheme="minorHAnsi" w:cstheme="minorHAnsi"/>
          <w:sz w:val="22"/>
          <w:szCs w:val="22"/>
        </w:rPr>
        <w:t>Novembe</w:t>
      </w:r>
      <w:r w:rsidR="00DC1642">
        <w:rPr>
          <w:rFonts w:asciiTheme="minorHAnsi" w:eastAsiaTheme="minorHAnsi" w:hAnsiTheme="minorHAnsi" w:cstheme="minorHAnsi"/>
          <w:sz w:val="22"/>
          <w:szCs w:val="22"/>
        </w:rPr>
        <w:t>r 2021</w:t>
      </w:r>
      <w:r w:rsidRPr="00E64F55">
        <w:rPr>
          <w:rFonts w:asciiTheme="minorHAnsi" w:eastAsiaTheme="minorHAnsi" w:hAnsiTheme="minorHAnsi" w:cstheme="minorHAnsi"/>
          <w:sz w:val="22"/>
          <w:szCs w:val="22"/>
        </w:rPr>
        <w:t>: Results formally declared at the Annual General Meeting (AGM)</w:t>
      </w:r>
    </w:p>
    <w:p w14:paraId="6F134AFA" w14:textId="170DD2AE" w:rsidR="00E64F55" w:rsidRDefault="002273AC" w:rsidP="00E64F55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 w:rsidRPr="00E64F55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  <w:r w:rsidR="00377E7B" w:rsidRPr="00E64F55">
        <w:rPr>
          <w:rFonts w:asciiTheme="minorHAnsi" w:eastAsiaTheme="minorHAnsi" w:hAnsiTheme="minorHAnsi" w:cstheme="minorHAnsi"/>
          <w:sz w:val="22"/>
          <w:szCs w:val="22"/>
        </w:rPr>
        <w:t>TBC (</w:t>
      </w:r>
      <w:r w:rsidRPr="00E64F55">
        <w:rPr>
          <w:rFonts w:asciiTheme="minorHAnsi" w:eastAsiaTheme="minorHAnsi" w:hAnsiTheme="minorHAnsi" w:cstheme="minorHAnsi"/>
          <w:sz w:val="22"/>
          <w:szCs w:val="22"/>
        </w:rPr>
        <w:t>provisional date</w:t>
      </w:r>
      <w:r w:rsidR="00DC16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7E7B" w:rsidRPr="00E64F55">
        <w:rPr>
          <w:rFonts w:asciiTheme="minorHAnsi" w:eastAsiaTheme="minorHAnsi" w:hAnsiTheme="minorHAnsi" w:cstheme="minorHAnsi"/>
          <w:sz w:val="22"/>
          <w:szCs w:val="22"/>
        </w:rPr>
        <w:t>17 November 2021)</w:t>
      </w:r>
      <w:r w:rsidR="00A07899" w:rsidRPr="00E64F5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83AE1" w:rsidRPr="00E64F55">
        <w:rPr>
          <w:rFonts w:asciiTheme="minorHAnsi" w:eastAsiaTheme="minorHAnsi" w:hAnsiTheme="minorHAnsi" w:cstheme="minorHAnsi"/>
          <w:sz w:val="22"/>
          <w:szCs w:val="22"/>
        </w:rPr>
        <w:t xml:space="preserve">       </w:t>
      </w:r>
      <w:r w:rsidR="00E64F55" w:rsidRPr="00E64F5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5E605A5B" w14:textId="6C5AB65F" w:rsidR="00A07899" w:rsidRPr="00E64F55" w:rsidRDefault="00E64F55" w:rsidP="00E64F55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 w:rsidRPr="00E64F5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83AE1" w:rsidRPr="00E64F55">
        <w:rPr>
          <w:rFonts w:asciiTheme="minorHAnsi" w:eastAsiaTheme="minorHAnsi" w:hAnsiTheme="minorHAnsi" w:cstheme="minorHAnsi"/>
          <w:sz w:val="22"/>
          <w:szCs w:val="22"/>
        </w:rPr>
        <w:t xml:space="preserve">       </w:t>
      </w:r>
      <w:r w:rsidR="00A07899" w:rsidRPr="00E64F55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</w:p>
    <w:p w14:paraId="3AFBC70A" w14:textId="77777777" w:rsidR="006632A5" w:rsidRPr="006632A5" w:rsidRDefault="00A07899" w:rsidP="006632A5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eastAsiaTheme="minorHAnsi"/>
        </w:rPr>
        <w:t xml:space="preserve">•  </w:t>
      </w:r>
      <w:r w:rsidRPr="006632A5">
        <w:rPr>
          <w:rFonts w:asciiTheme="minorHAnsi" w:eastAsiaTheme="minorHAnsi" w:hAnsiTheme="minorHAnsi" w:cstheme="minorHAnsi"/>
          <w:sz w:val="22"/>
          <w:szCs w:val="22"/>
        </w:rPr>
        <w:t xml:space="preserve">1st January 2022: </w:t>
      </w:r>
    </w:p>
    <w:p w14:paraId="45E44CFE" w14:textId="0356762B" w:rsidR="00A07899" w:rsidRDefault="006632A5" w:rsidP="006632A5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 w:rsidRPr="006632A5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  <w:r w:rsidR="00A07899" w:rsidRPr="006632A5">
        <w:rPr>
          <w:rFonts w:asciiTheme="minorHAnsi" w:eastAsiaTheme="minorHAnsi" w:hAnsiTheme="minorHAnsi" w:cstheme="minorHAnsi"/>
          <w:sz w:val="22"/>
          <w:szCs w:val="22"/>
        </w:rPr>
        <w:t xml:space="preserve">Newly elected members of Council take up their role as members of </w:t>
      </w:r>
      <w:r w:rsidRPr="006632A5">
        <w:rPr>
          <w:rFonts w:asciiTheme="minorHAnsi" w:eastAsiaTheme="minorHAnsi" w:hAnsiTheme="minorHAnsi" w:cstheme="minorHAnsi"/>
          <w:sz w:val="22"/>
          <w:szCs w:val="22"/>
        </w:rPr>
        <w:t>Governing Council</w:t>
      </w:r>
      <w:r w:rsidR="00A07899" w:rsidRPr="006632A5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26FFFEAE" w14:textId="77777777" w:rsidR="00682250" w:rsidRPr="006632A5" w:rsidRDefault="00682250" w:rsidP="006632A5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</w:p>
    <w:p w14:paraId="2ABF02AF" w14:textId="65896154" w:rsidR="00A07899" w:rsidRDefault="00A07899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</w:pPr>
      <w:bookmarkStart w:id="1" w:name="_Hlk74653029"/>
      <w:bookmarkEnd w:id="0"/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Conversations with </w:t>
      </w:r>
      <w:r w:rsidR="00237626"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potential </w:t>
      </w: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>nomin</w:t>
      </w:r>
      <w:r w:rsidR="00237626"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2"/>
          <w:szCs w:val="22"/>
        </w:rPr>
        <w:t>ees</w:t>
      </w:r>
    </w:p>
    <w:p w14:paraId="7CD6C17F" w14:textId="12D65486" w:rsidR="00A07899" w:rsidRPr="00BD7DA0" w:rsidRDefault="00A07899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To support the nominations procedures, all individual members considering standing for election, or re-election, to the Board of Trustees are offered the opportunity for an informal conversation with a Board 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 xml:space="preserve">member or 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members, drawn from amongst current elected members 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>(who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 are not themselves 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>standing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 for re-election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 xml:space="preserve">and 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supported by the Society Director. This conversation should ideally 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 xml:space="preserve">take place 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before nominations are submitted, but if 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>this is not achievable then at any time before the voting process commences.</w:t>
      </w:r>
    </w:p>
    <w:p w14:paraId="55CA21BE" w14:textId="75FECA5A" w:rsidR="00A07899" w:rsidRPr="00BD7DA0" w:rsidRDefault="00A07899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lastRenderedPageBreak/>
        <w:t>All nominees, whether standing for the first time or standing for re</w:t>
      </w:r>
      <w:r w:rsidR="00682250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>election</w:t>
      </w:r>
      <w:r w:rsidR="00D11191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 are encouraged to take up this opportunity to participate in these informal conversations.</w:t>
      </w:r>
    </w:p>
    <w:p w14:paraId="467D528F" w14:textId="57A17818" w:rsidR="00A07899" w:rsidRPr="00BD7DA0" w:rsidRDefault="00A07899" w:rsidP="00A07899">
      <w:pPr>
        <w:spacing w:after="160" w:line="252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BD7DA0">
        <w:rPr>
          <w:rFonts w:asciiTheme="minorHAnsi" w:eastAsiaTheme="minorHAnsi" w:hAnsiTheme="minorHAnsi" w:cstheme="minorHAnsi"/>
          <w:sz w:val="22"/>
          <w:szCs w:val="22"/>
        </w:rPr>
        <w:t>The purpose of these conversations is solely the opportunity</w:t>
      </w:r>
      <w:r w:rsidR="00237626" w:rsidRPr="00BD7DA0">
        <w:rPr>
          <w:rFonts w:asciiTheme="minorHAnsi" w:eastAsiaTheme="minorHAnsi" w:hAnsiTheme="minorHAnsi" w:cstheme="minorHAnsi"/>
          <w:sz w:val="22"/>
          <w:szCs w:val="22"/>
        </w:rPr>
        <w:t xml:space="preserve"> for nominees to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 find out more about what is entailed in being a Trustee, gain a wider understanding of the nature of the commitment involved and explore areas of contribution and engagement as a trustee so that the role can be </w:t>
      </w:r>
      <w:r w:rsidR="00D11191">
        <w:rPr>
          <w:rFonts w:asciiTheme="minorHAnsi" w:eastAsiaTheme="minorHAnsi" w:hAnsiTheme="minorHAnsi" w:cstheme="minorHAnsi"/>
          <w:sz w:val="22"/>
          <w:szCs w:val="22"/>
        </w:rPr>
        <w:t xml:space="preserve">a </w:t>
      </w:r>
      <w:r w:rsidRPr="00BD7DA0">
        <w:rPr>
          <w:rFonts w:asciiTheme="minorHAnsi" w:eastAsiaTheme="minorHAnsi" w:hAnsiTheme="minorHAnsi" w:cstheme="minorHAnsi"/>
          <w:sz w:val="22"/>
          <w:szCs w:val="22"/>
        </w:rPr>
        <w:t xml:space="preserve">positive and valuable experience.  </w:t>
      </w:r>
    </w:p>
    <w:p w14:paraId="1AF84E76" w14:textId="68891CC3" w:rsidR="00A07899" w:rsidRDefault="00A07899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>Any Society member considering putting themselves forward for election as a Trustee</w:t>
      </w:r>
      <w:r w:rsidR="00237626">
        <w:rPr>
          <w:rFonts w:asciiTheme="majorHAnsi" w:eastAsiaTheme="minorHAnsi" w:hAnsiTheme="majorHAnsi" w:cstheme="majorHAnsi"/>
          <w:b/>
          <w:bCs/>
          <w:sz w:val="22"/>
          <w:szCs w:val="22"/>
        </w:rPr>
        <w:t>, or re</w:t>
      </w:r>
      <w:r w:rsidR="00FC194B">
        <w:rPr>
          <w:rFonts w:asciiTheme="majorHAnsi" w:eastAsiaTheme="minorHAnsi" w:hAnsiTheme="majorHAnsi" w:cstheme="majorHAnsi"/>
          <w:b/>
          <w:bCs/>
          <w:sz w:val="22"/>
          <w:szCs w:val="22"/>
        </w:rPr>
        <w:t>-</w:t>
      </w:r>
      <w:r w:rsidR="00237626">
        <w:rPr>
          <w:rFonts w:asciiTheme="majorHAnsi" w:eastAsiaTheme="minorHAnsi" w:hAnsiTheme="majorHAnsi" w:cstheme="majorHAnsi"/>
          <w:b/>
          <w:bCs/>
          <w:sz w:val="22"/>
          <w:szCs w:val="22"/>
        </w:rPr>
        <w:t>election,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and wishing to take up this opportunity to discuss the role of a trustee is invited to make direct contact by email with the Society Director, Helen Perkins </w:t>
      </w:r>
      <w:hyperlink r:id="rId9" w:history="1">
        <w:r>
          <w:rPr>
            <w:rStyle w:val="Hyperlink"/>
            <w:rFonts w:asciiTheme="majorHAnsi" w:eastAsiaTheme="minorHAnsi" w:hAnsiTheme="majorHAnsi" w:cstheme="majorHAnsi"/>
            <w:b/>
            <w:bCs/>
            <w:sz w:val="22"/>
            <w:szCs w:val="22"/>
          </w:rPr>
          <w:t>helen.perkins@srhe.ac.uk</w:t>
        </w:r>
      </w:hyperlink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 in the first instance</w:t>
      </w:r>
      <w:r w:rsidR="00D11191">
        <w:rPr>
          <w:rFonts w:asciiTheme="majorHAnsi" w:eastAsiaTheme="minorHAnsi" w:hAnsiTheme="majorHAnsi" w:cstheme="majorHAnsi"/>
          <w:b/>
          <w:bCs/>
          <w:sz w:val="22"/>
          <w:szCs w:val="22"/>
        </w:rPr>
        <w:t>,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who will make the arrangements for the conversations with current Trustees to take place online. </w:t>
      </w:r>
    </w:p>
    <w:bookmarkEnd w:id="1"/>
    <w:p w14:paraId="15170F0A" w14:textId="6B410946" w:rsidR="00237626" w:rsidRDefault="00BD7DA0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  <w:t>SRHE July 2021</w:t>
      </w:r>
    </w:p>
    <w:p w14:paraId="390DB31F" w14:textId="45A9737E" w:rsidR="00BD7DA0" w:rsidRDefault="00BD7DA0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10C08E74" w14:textId="4625BE46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31015DDF" w14:textId="1C7AF0B5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3371082D" w14:textId="12537793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271EF1FC" w14:textId="69361122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5A3C3538" w14:textId="52D28673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17CD333" w14:textId="5CBF3B2B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2F4DD356" w14:textId="57B1679A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4BE06539" w14:textId="7A981338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3726518B" w14:textId="54130142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82430EB" w14:textId="1F758F73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C0CEDCA" w14:textId="170B555F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28D6E213" w14:textId="56ABAE18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1342BB98" w14:textId="022366C7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232A8862" w14:textId="31BED1E6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00873B2D" w14:textId="5EF5DFEC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199C51E1" w14:textId="1CFDEE52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54AC8180" w14:textId="78F0F0CD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4E52D87D" w14:textId="5B482287" w:rsidR="00C76F46" w:rsidRDefault="00C76F46" w:rsidP="00A07899">
      <w:pPr>
        <w:spacing w:after="160" w:line="252" w:lineRule="auto"/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2F913EC5" w14:textId="6F216231" w:rsidR="00A07899" w:rsidRDefault="00A07899" w:rsidP="00A07899">
      <w:pPr>
        <w:spacing w:after="160" w:line="252" w:lineRule="auto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SRHE Governing Council</w:t>
      </w:r>
      <w:r>
        <w:rPr>
          <w:rFonts w:asciiTheme="majorHAnsi" w:eastAsiaTheme="minorHAnsi" w:hAnsiTheme="majorHAnsi" w:cstheme="majorHAnsi"/>
          <w:color w:val="2F5496" w:themeColor="accent1" w:themeShade="BF"/>
          <w:sz w:val="28"/>
          <w:szCs w:val="28"/>
        </w:rPr>
        <w:t xml:space="preserve"> </w:t>
      </w: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  <w:t>Membership</w:t>
      </w:r>
      <w:r w:rsidR="00D11191"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Theme="majorHAnsi" w:eastAsiaTheme="minorHAnsi" w:hAnsiTheme="majorHAnsi" w:cstheme="majorHAnsi"/>
          <w:b/>
          <w:bCs/>
          <w:color w:val="2F5496" w:themeColor="accent1" w:themeShade="BF"/>
          <w:sz w:val="28"/>
          <w:szCs w:val="28"/>
        </w:rPr>
        <w:t>- Person Specification</w:t>
      </w:r>
    </w:p>
    <w:tbl>
      <w:tblPr>
        <w:tblW w:w="102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1558"/>
        <w:gridCol w:w="1398"/>
      </w:tblGrid>
      <w:tr w:rsidR="00A07899" w14:paraId="7906634F" w14:textId="77777777" w:rsidTr="00A07899"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1C722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Personal Qualities</w:t>
            </w:r>
          </w:p>
          <w:p w14:paraId="14E14CB4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4857DB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Essential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F2474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Desirable</w:t>
            </w:r>
          </w:p>
        </w:tc>
      </w:tr>
      <w:tr w:rsidR="00A07899" w14:paraId="2BA2A4D1" w14:textId="77777777" w:rsidTr="00A07899">
        <w:trPr>
          <w:trHeight w:val="40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07E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Commitment to the ethos and values of the Society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5FBD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7D1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1F61711F" w14:textId="77777777" w:rsidTr="00A07899">
        <w:trPr>
          <w:trHeight w:val="68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C23D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Willingness to devote time, enthusiasm and effort to the duties and responsibilities of a trustee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6F9C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829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58C28ED1" w14:textId="77777777" w:rsidTr="00A07899">
        <w:trPr>
          <w:trHeight w:val="414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CE3" w14:textId="43755EF6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ability to work effectively and collaboratively with peers in decision</w:t>
            </w:r>
            <w:r w:rsidR="00D1119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making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D5E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78F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</w:p>
        </w:tc>
      </w:tr>
      <w:tr w:rsidR="00A07899" w14:paraId="7F6A57F8" w14:textId="77777777" w:rsidTr="00A07899"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DC7E9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Aptitude and Skills</w:t>
            </w:r>
          </w:p>
          <w:p w14:paraId="4F1B0345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94ECC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30D50E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7FF49C1C" w14:textId="77777777" w:rsidTr="00A07899">
        <w:trPr>
          <w:trHeight w:val="48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B5CA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good professional standing and reputation in the field of HE </w:t>
            </w:r>
            <w:proofErr w:type="gramStart"/>
            <w:r>
              <w:rPr>
                <w:rFonts w:asciiTheme="majorHAnsi" w:hAnsiTheme="majorHAnsi" w:cstheme="majorHAnsi"/>
              </w:rPr>
              <w:t>research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10D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22D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4AB6FDB5" w14:textId="77777777" w:rsidTr="00A07899">
        <w:trPr>
          <w:trHeight w:val="55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D05C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 understanding and acceptance of the legal duties, responsibilities and liabilities of trusteeship and </w:t>
            </w:r>
            <w:proofErr w:type="gramStart"/>
            <w:r>
              <w:rPr>
                <w:rFonts w:asciiTheme="majorHAnsi" w:hAnsiTheme="majorHAnsi" w:cstheme="majorHAnsi"/>
              </w:rPr>
              <w:t>that decisions</w:t>
            </w:r>
            <w:proofErr w:type="gramEnd"/>
            <w:r>
              <w:rPr>
                <w:rFonts w:asciiTheme="majorHAnsi" w:hAnsiTheme="majorHAnsi" w:cstheme="majorHAnsi"/>
              </w:rPr>
              <w:t xml:space="preserve"> taken must be based on the best interest of the Society and not individual interest or preferences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52BA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CB1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42296966" w14:textId="77777777" w:rsidTr="00A07899">
        <w:trPr>
          <w:trHeight w:val="558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E8CF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play a strategic role to successfully effect change and meet the objectives of the Society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827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325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3BDFBC7E" w14:textId="77777777" w:rsidTr="00A07899">
        <w:trPr>
          <w:trHeight w:val="558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86B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capacity to work well and effectively with other professionals working for or with the Society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0CF4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5E9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66E57C07" w14:textId="77777777" w:rsidTr="00A07899">
        <w:trPr>
          <w:trHeight w:val="55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F073E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Knowledge and expertise</w:t>
            </w:r>
          </w:p>
          <w:p w14:paraId="1FD5845B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35EB0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478A6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899" w14:paraId="34882994" w14:textId="77777777" w:rsidTr="00A07899">
        <w:trPr>
          <w:trHeight w:val="56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FEF9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Management and leadership experience within Higher Education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58C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B374" w14:textId="77777777" w:rsidR="00A07899" w:rsidRDefault="00A07899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Symbol" w:char="F0D6"/>
            </w:r>
          </w:p>
        </w:tc>
      </w:tr>
      <w:tr w:rsidR="00A07899" w14:paraId="6FAE63F1" w14:textId="77777777" w:rsidTr="00A07899">
        <w:trPr>
          <w:trHeight w:val="4956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F4B2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addition to their own field of research, specific professional knowledge, experience, and skills in at least two of the following areas: </w:t>
            </w:r>
          </w:p>
          <w:p w14:paraId="074B4585" w14:textId="08C8EBBF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International </w:t>
            </w:r>
            <w:r w:rsidR="00D11191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xperience within the Higher Education sector</w:t>
            </w:r>
          </w:p>
          <w:p w14:paraId="6DB6A9E0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Formation and development of higher education policy</w:t>
            </w:r>
          </w:p>
          <w:p w14:paraId="139FD6D0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funding and grant applications procedures</w:t>
            </w:r>
          </w:p>
          <w:p w14:paraId="76009458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 experience</w:t>
            </w:r>
          </w:p>
          <w:p w14:paraId="0F47E94F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Charity law</w:t>
            </w:r>
          </w:p>
          <w:p w14:paraId="54CE408F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Conference development and planning</w:t>
            </w:r>
          </w:p>
          <w:p w14:paraId="078F8505" w14:textId="1F08B2D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of </w:t>
            </w:r>
            <w:r w:rsidR="00D11191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echnology within HE </w:t>
            </w:r>
            <w:proofErr w:type="gramStart"/>
            <w:r>
              <w:rPr>
                <w:rFonts w:asciiTheme="majorHAnsi" w:hAnsiTheme="majorHAnsi" w:cstheme="majorHAnsi"/>
              </w:rPr>
              <w:t>research</w:t>
            </w:r>
            <w:proofErr w:type="gramEnd"/>
          </w:p>
          <w:p w14:paraId="27EEC6D7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Finance/accountancy</w:t>
            </w:r>
          </w:p>
          <w:p w14:paraId="0E4EFE86" w14:textId="2BC19B4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Book and </w:t>
            </w:r>
            <w:r w:rsidR="00D11191">
              <w:rPr>
                <w:rFonts w:asciiTheme="majorHAnsi" w:hAnsiTheme="majorHAnsi" w:cstheme="majorHAnsi"/>
              </w:rPr>
              <w:t>j</w:t>
            </w:r>
            <w:r>
              <w:rPr>
                <w:rFonts w:asciiTheme="majorHAnsi" w:hAnsiTheme="majorHAnsi" w:cstheme="majorHAnsi"/>
              </w:rPr>
              <w:t>ournal publishing</w:t>
            </w:r>
          </w:p>
          <w:p w14:paraId="07871B0C" w14:textId="77777777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management of change</w:t>
            </w:r>
          </w:p>
          <w:p w14:paraId="65254FF5" w14:textId="52015440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Monitoring and evaluating performance in commercial and not</w:t>
            </w:r>
            <w:r w:rsidR="00D1119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for</w:t>
            </w:r>
            <w:r w:rsidR="00D1119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profit </w:t>
            </w:r>
            <w:proofErr w:type="gramStart"/>
            <w:r>
              <w:rPr>
                <w:rFonts w:asciiTheme="majorHAnsi" w:hAnsiTheme="majorHAnsi" w:cstheme="majorHAnsi"/>
              </w:rPr>
              <w:t>organisations</w:t>
            </w:r>
            <w:proofErr w:type="gramEnd"/>
          </w:p>
          <w:p w14:paraId="63795779" w14:textId="76462E93" w:rsidR="00A07899" w:rsidRDefault="00A07899" w:rsidP="00B479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Marketing, media</w:t>
            </w:r>
            <w:r w:rsidR="00805F0F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PR</w:t>
            </w:r>
            <w:proofErr w:type="gramEnd"/>
            <w:r w:rsidR="00805F0F">
              <w:rPr>
                <w:rFonts w:asciiTheme="majorHAnsi" w:hAnsiTheme="majorHAnsi" w:cstheme="majorHAnsi"/>
              </w:rPr>
              <w:t xml:space="preserve"> and digital communications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542" w14:textId="77777777" w:rsidR="00A07899" w:rsidRDefault="00A07899">
            <w:pPr>
              <w:spacing w:line="25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A8D3" w14:textId="77777777" w:rsidR="00A07899" w:rsidRDefault="00A07899">
            <w:pPr>
              <w:rPr>
                <w:rFonts w:asciiTheme="majorHAnsi" w:hAnsiTheme="majorHAnsi" w:cstheme="majorHAnsi"/>
              </w:rPr>
            </w:pPr>
          </w:p>
        </w:tc>
      </w:tr>
    </w:tbl>
    <w:p w14:paraId="103D04B9" w14:textId="77777777" w:rsidR="00A07899" w:rsidRDefault="00A07899" w:rsidP="00A07899">
      <w:pPr>
        <w:rPr>
          <w:rFonts w:asciiTheme="majorHAnsi" w:hAnsiTheme="majorHAnsi" w:cstheme="majorHAnsi"/>
        </w:rPr>
      </w:pPr>
    </w:p>
    <w:p w14:paraId="0FEADD8A" w14:textId="77777777" w:rsidR="00A07899" w:rsidRDefault="00A07899" w:rsidP="00A07899">
      <w:pPr>
        <w:rPr>
          <w:rFonts w:asciiTheme="majorHAnsi" w:hAnsiTheme="majorHAnsi" w:cstheme="majorHAnsi"/>
        </w:rPr>
      </w:pPr>
    </w:p>
    <w:p w14:paraId="4041B0AE" w14:textId="77777777" w:rsidR="00A07899" w:rsidRDefault="00A07899" w:rsidP="00A07899">
      <w:pPr>
        <w:rPr>
          <w:rFonts w:asciiTheme="majorHAnsi" w:hAnsiTheme="majorHAnsi" w:cstheme="majorHAnsi"/>
        </w:rPr>
      </w:pPr>
    </w:p>
    <w:p w14:paraId="3323C9DF" w14:textId="77777777" w:rsidR="00A07899" w:rsidRDefault="00A07899" w:rsidP="00A078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SRHE July 2021</w:t>
      </w:r>
    </w:p>
    <w:p w14:paraId="7F042E80" w14:textId="77777777" w:rsidR="009F42F6" w:rsidRDefault="009F42F6"/>
    <w:sectPr w:rsidR="009F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4CA6"/>
    <w:multiLevelType w:val="hybridMultilevel"/>
    <w:tmpl w:val="76FE4E10"/>
    <w:lvl w:ilvl="0" w:tplc="20DCF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99"/>
    <w:rsid w:val="000F0BAB"/>
    <w:rsid w:val="002273AC"/>
    <w:rsid w:val="00237626"/>
    <w:rsid w:val="002D5128"/>
    <w:rsid w:val="00377E7B"/>
    <w:rsid w:val="00442F8E"/>
    <w:rsid w:val="0056192B"/>
    <w:rsid w:val="006632A5"/>
    <w:rsid w:val="00682250"/>
    <w:rsid w:val="00730210"/>
    <w:rsid w:val="00805F0F"/>
    <w:rsid w:val="0092005B"/>
    <w:rsid w:val="00973A93"/>
    <w:rsid w:val="009F42F6"/>
    <w:rsid w:val="00A07899"/>
    <w:rsid w:val="00AB2BAD"/>
    <w:rsid w:val="00B523BA"/>
    <w:rsid w:val="00BB0491"/>
    <w:rsid w:val="00BD7DA0"/>
    <w:rsid w:val="00C343BA"/>
    <w:rsid w:val="00C50C36"/>
    <w:rsid w:val="00C76F46"/>
    <w:rsid w:val="00C83AE1"/>
    <w:rsid w:val="00D071C6"/>
    <w:rsid w:val="00D11191"/>
    <w:rsid w:val="00DC1642"/>
    <w:rsid w:val="00DF0F98"/>
    <w:rsid w:val="00E64F55"/>
    <w:rsid w:val="00ED4A03"/>
    <w:rsid w:val="00FC194B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4CF3"/>
  <w15:chartTrackingRefBased/>
  <w15:docId w15:val="{3DB88AEC-F8CB-46A1-9B83-B4733AA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99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8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789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elen.perkins@srh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2" ma:contentTypeDescription="Create a new document." ma:contentTypeScope="" ma:versionID="42cd86c5ce9de4e51eef337ddcbe417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d5ab78c6b8330fe9d8484ada4aa2add7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0B45-02F0-4102-8613-43F525361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4CF6F-9E54-4287-A98E-126074AB5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92C0B-5D4A-4A72-9833-C4D791B85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B57BB-9EB0-48C0-9B55-24C759AE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Perkins</dc:creator>
  <cp:keywords/>
  <dc:description/>
  <cp:lastModifiedBy>Helen Perkins</cp:lastModifiedBy>
  <cp:revision>2</cp:revision>
  <dcterms:created xsi:type="dcterms:W3CDTF">2021-07-15T07:35:00Z</dcterms:created>
  <dcterms:modified xsi:type="dcterms:W3CDTF">2021-07-15T07:35:00Z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